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autoSpaceDE w:val="0"/>
        <w:autoSpaceDN w:val="0"/>
        <w:adjustRightInd w:val="0"/>
        <w:spacing w:line="700" w:lineRule="exact"/>
        <w:jc w:val="left"/>
        <w:rPr>
          <w:rFonts w:ascii="仿宋" w:eastAsia="仿宋" w:hAnsi="仿宋" w:cs="方正小标宋简体"/>
          <w:sz w:val="32"/>
          <w:szCs w:val="32"/>
          <w:lang w:val="zh-CN"/>
        </w:rPr>
      </w:pPr>
      <w:r>
        <w:rPr>
          <w:rFonts w:ascii="仿宋" w:eastAsia="仿宋" w:hAnsi="仿宋" w:cs="方正小标宋简体" w:hint="eastAsia"/>
          <w:sz w:val="32"/>
          <w:szCs w:val="32"/>
          <w:lang w:val="zh-CN"/>
        </w:rPr>
        <w:t>附件2：</w:t>
      </w:r>
    </w:p>
    <w:p>
      <w:pPr>
        <w:pStyle w:val="a0"/>
        <w:rPr>
          <w:rFonts w:hint="eastAsia"/>
          <w:lang w:val="zh-CN" w:eastAsia="zh-CN"/>
        </w:rPr>
      </w:pPr>
    </w:p>
    <w:p>
      <w:pPr>
        <w:autoSpaceDE w:val="0"/>
        <w:autoSpaceDN w:val="0"/>
        <w:adjustRightInd w:val="0"/>
        <w:spacing w:line="700" w:lineRule="exact"/>
        <w:jc w:val="center"/>
        <w:rPr>
          <w:rFonts w:ascii="方正小标宋简体" w:eastAsia="方正小标宋简体" w:hAnsi="Calibri" w:cs="方正小标宋简体"/>
          <w:sz w:val="44"/>
          <w:szCs w:val="44"/>
          <w:lang w:val="zh-CN"/>
        </w:rPr>
      </w:pPr>
      <w:r>
        <w:rPr>
          <w:rFonts w:ascii="方正小标宋简体" w:eastAsia="方正小标宋简体" w:hAnsi="Calibri" w:cs="方正小标宋简体" w:hint="eastAsia"/>
          <w:sz w:val="44"/>
          <w:szCs w:val="44"/>
          <w:lang w:val="zh-CN"/>
        </w:rPr>
        <w:t>西藏自治区预算管理一体化系统部门决算批复及公开操作流程与说明</w:t>
      </w:r>
    </w:p>
    <w:p>
      <w:pPr>
        <w:autoSpaceDE w:val="0"/>
        <w:autoSpaceDN w:val="0"/>
        <w:adjustRightInd w:val="0"/>
        <w:spacing w:line="700" w:lineRule="exact"/>
        <w:jc w:val="left"/>
        <w:rPr>
          <w:rFonts w:ascii="方正小标宋简体" w:eastAsia="方正小标宋简体" w:hAnsi="Calibri" w:cs="方正小标宋简体"/>
          <w:sz w:val="44"/>
          <w:szCs w:val="44"/>
          <w:lang w:val="zh-CN"/>
        </w:rPr>
      </w:pPr>
    </w:p>
    <w:p>
      <w:pPr>
        <w:pStyle w:val="a0"/>
        <w:numPr>
          <w:ilvl w:val="0"/>
          <w:numId w:val="1"/>
        </w:numPr>
        <w:spacing w:line="588" w:lineRule="exact"/>
        <w:jc w:val="left"/>
        <w:rPr>
          <w:rFonts w:ascii="黑体" w:eastAsia="黑体" w:hAnsi="黑体"/>
          <w:sz w:val="32"/>
          <w:szCs w:val="32"/>
          <w:lang w:eastAsia="zh-CN"/>
        </w:rPr>
      </w:pPr>
      <w:r>
        <w:rPr>
          <w:rFonts w:ascii="黑体" w:eastAsia="黑体" w:hAnsi="黑体" w:hint="eastAsia"/>
          <w:sz w:val="32"/>
          <w:szCs w:val="32"/>
          <w:lang w:eastAsia="zh-CN"/>
        </w:rPr>
        <w:t>业务概述</w:t>
      </w:r>
    </w:p>
    <w:p>
      <w:pPr>
        <w:pStyle w:val="a0"/>
        <w:spacing w:beforeLines="50" w:before="156" w:afterLines="50" w:after="156" w:line="588" w:lineRule="exact"/>
        <w:ind w:firstLineChars="200" w:firstLine="640"/>
        <w:rPr>
          <w:rFonts w:ascii="仿宋_GB2312" w:eastAsia="仿宋_GB2312"/>
          <w:lang w:eastAsia="zh-CN"/>
        </w:rPr>
      </w:pPr>
      <w:r>
        <w:rPr>
          <w:rFonts w:ascii="仿宋" w:eastAsia="仿宋" w:hAnsi="仿宋" w:hint="eastAsia"/>
          <w:sz w:val="32"/>
          <w:szCs w:val="32"/>
          <w:lang w:eastAsia="zh-CN"/>
        </w:rPr>
        <w:t>根据《中华人民共和国预算法》规定，财政批复为财政部门在各级政府决算经同级人大常委会批准后，在二十日内向本级各部门批复决算。部门批复</w:t>
      </w:r>
      <w:r>
        <w:rPr>
          <w:rFonts w:ascii="仿宋" w:eastAsia="仿宋" w:hAnsi="仿宋"/>
          <w:sz w:val="32"/>
          <w:szCs w:val="32"/>
          <w:lang w:eastAsia="zh-CN"/>
        </w:rPr>
        <w:t>为</w:t>
      </w:r>
      <w:r>
        <w:rPr>
          <w:rFonts w:ascii="仿宋" w:eastAsia="仿宋" w:hAnsi="仿宋" w:hint="eastAsia"/>
          <w:sz w:val="32"/>
          <w:szCs w:val="32"/>
          <w:lang w:eastAsia="zh-CN"/>
        </w:rPr>
        <w:t>各部门在接到本级财政部门批复的本部门决算后十五日内向所属单位批复决算。</w:t>
      </w:r>
      <w:r>
        <w:rPr>
          <w:rFonts w:ascii="仿宋_GB2312" w:eastAsia="仿宋_GB2312"/>
          <w:lang w:eastAsia="zh-CN"/>
        </w:rPr>
        <w:t xml:space="preserve"> </w:t>
      </w:r>
    </w:p>
    <w:p>
      <w:pPr>
        <w:pStyle w:val="a0"/>
        <w:spacing w:beforeLines="50" w:before="156" w:afterLines="50" w:after="156" w:line="588" w:lineRule="exact"/>
        <w:ind w:firstLineChars="200" w:firstLine="640"/>
        <w:rPr>
          <w:rFonts w:ascii="仿宋" w:eastAsia="仿宋" w:hAnsi="仿宋"/>
          <w:sz w:val="32"/>
          <w:szCs w:val="32"/>
          <w:lang w:eastAsia="zh-CN"/>
        </w:rPr>
      </w:pPr>
      <w:r>
        <w:rPr>
          <w:rFonts w:ascii="仿宋" w:eastAsia="仿宋" w:hAnsi="仿宋" w:hint="eastAsia"/>
          <w:sz w:val="32"/>
          <w:szCs w:val="32"/>
          <w:lang w:eastAsia="zh-CN"/>
        </w:rPr>
        <w:t>根据《中华人民共和国预算法》规定，部门公开为各部门应当自本级政府财政部门批复决算后二十日内向社会公开决算。单位公开为各单位应当自部门批复本单位决算后二十日内向社会公开决算。各部</w:t>
      </w:r>
      <w:bookmarkStart w:id="0" w:name="_GoBack"/>
      <w:bookmarkEnd w:id="0"/>
      <w:r>
        <w:rPr>
          <w:rFonts w:ascii="仿宋" w:eastAsia="仿宋" w:hAnsi="仿宋" w:hint="eastAsia"/>
          <w:sz w:val="32"/>
          <w:szCs w:val="32"/>
          <w:lang w:eastAsia="zh-CN"/>
        </w:rPr>
        <w:t>门、各单位在预算管理一体化系统“部门决算”模块中生成、导出部门决算公开报表与报告，线下编辑报表和报告说明后进行决算公开流程。</w:t>
      </w:r>
    </w:p>
    <w:p>
      <w:pPr>
        <w:pStyle w:val="a0"/>
        <w:numPr>
          <w:ilvl w:val="0"/>
          <w:numId w:val="1"/>
        </w:numPr>
        <w:spacing w:line="588" w:lineRule="exact"/>
        <w:jc w:val="left"/>
        <w:rPr>
          <w:rFonts w:ascii="黑体" w:eastAsia="黑体" w:hAnsi="黑体"/>
          <w:sz w:val="32"/>
          <w:szCs w:val="32"/>
          <w:lang w:eastAsia="zh-CN"/>
        </w:rPr>
      </w:pPr>
      <w:r>
        <w:rPr>
          <w:rFonts w:ascii="黑体" w:eastAsia="黑体" w:hAnsi="黑体" w:hint="eastAsia"/>
          <w:sz w:val="32"/>
          <w:szCs w:val="32"/>
          <w:lang w:eastAsia="zh-CN"/>
        </w:rPr>
        <w:t>操作流程</w:t>
      </w:r>
    </w:p>
    <w:p>
      <w:pPr>
        <w:pStyle w:val="a0"/>
        <w:numPr>
          <w:ilvl w:val="0"/>
          <w:numId w:val="2"/>
        </w:numPr>
        <w:spacing w:line="588" w:lineRule="exact"/>
        <w:jc w:val="left"/>
        <w:rPr>
          <w:rFonts w:ascii="楷体" w:eastAsia="楷体" w:hAnsi="楷体"/>
          <w:sz w:val="32"/>
          <w:szCs w:val="32"/>
          <w:lang w:eastAsia="zh-CN"/>
        </w:rPr>
      </w:pPr>
      <w:r>
        <w:rPr>
          <w:rFonts w:ascii="楷体" w:eastAsia="楷体" w:hAnsi="楷体" w:hint="eastAsia"/>
          <w:sz w:val="32"/>
          <w:szCs w:val="32"/>
          <w:lang w:eastAsia="zh-CN"/>
        </w:rPr>
        <w:t>部门决算批复</w:t>
      </w:r>
    </w:p>
    <w:p>
      <w:pPr>
        <w:pStyle w:val="a0"/>
        <w:spacing w:line="588" w:lineRule="exact"/>
        <w:ind w:firstLineChars="200" w:firstLine="640"/>
        <w:rPr>
          <w:rFonts w:ascii="仿宋" w:eastAsia="仿宋" w:hAnsi="仿宋"/>
          <w:sz w:val="32"/>
          <w:szCs w:val="32"/>
          <w:lang w:eastAsia="zh-CN"/>
        </w:rPr>
      </w:pPr>
      <w:r>
        <w:rPr>
          <w:rFonts w:ascii="仿宋" w:eastAsia="仿宋" w:hAnsi="仿宋" w:hint="eastAsia"/>
          <w:sz w:val="32"/>
          <w:szCs w:val="32"/>
          <w:lang w:eastAsia="zh-CN"/>
        </w:rPr>
        <w:t>各级财政部门、各部门在预算管理一体化系统中“部门决算”模块的“决算批复→财政批复/部门批复”菜单中进行操作，部门决算批复需从部门决算“已上报”的报表进行提取数据，生成部门决算批复报表及批复报告。主要流程为“切</w:t>
      </w:r>
      <w:r>
        <w:rPr>
          <w:rFonts w:ascii="仿宋" w:eastAsia="仿宋" w:hAnsi="仿宋" w:hint="eastAsia"/>
          <w:sz w:val="32"/>
          <w:szCs w:val="32"/>
          <w:lang w:eastAsia="zh-CN"/>
        </w:rPr>
        <w:lastRenderedPageBreak/>
        <w:t>换单位→数据生成（决算报表）→一键批复（决算报表）→批复报表导出→批复报告生成→批复报告导出”。</w:t>
      </w:r>
    </w:p>
    <w:p>
      <w:pPr>
        <w:pStyle w:val="a0"/>
        <w:spacing w:line="588" w:lineRule="exact"/>
        <w:ind w:firstLineChars="200" w:firstLine="640"/>
        <w:jc w:val="left"/>
        <w:rPr>
          <w:rFonts w:ascii="仿宋" w:eastAsia="仿宋" w:hAnsi="仿宋"/>
          <w:sz w:val="32"/>
          <w:szCs w:val="32"/>
          <w:lang w:eastAsia="zh-CN"/>
        </w:rPr>
      </w:pPr>
      <w:r>
        <w:rPr>
          <w:rFonts w:ascii="仿宋" w:eastAsia="仿宋" w:hAnsi="仿宋" w:hint="eastAsia"/>
          <w:sz w:val="32"/>
          <w:szCs w:val="32"/>
          <w:lang w:eastAsia="zh-CN"/>
        </w:rPr>
        <w:t>具体操作流程：</w:t>
      </w:r>
    </w:p>
    <w:p>
      <w:pPr>
        <w:pStyle w:val="a0"/>
        <w:spacing w:line="588" w:lineRule="exact"/>
        <w:ind w:firstLineChars="200" w:firstLine="643"/>
        <w:jc w:val="left"/>
        <w:rPr>
          <w:rFonts w:ascii="仿宋" w:eastAsia="仿宋" w:hAnsi="仿宋"/>
          <w:b/>
          <w:sz w:val="32"/>
          <w:szCs w:val="32"/>
          <w:lang w:eastAsia="zh-CN"/>
        </w:rPr>
      </w:pPr>
      <w:r>
        <w:rPr>
          <w:rFonts w:ascii="仿宋" w:eastAsia="仿宋" w:hAnsi="仿宋"/>
          <w:b/>
          <w:sz w:val="32"/>
          <w:szCs w:val="32"/>
          <w:lang w:eastAsia="zh-CN"/>
        </w:rPr>
        <w:t>1.</w:t>
      </w:r>
      <w:r>
        <w:rPr>
          <w:rFonts w:ascii="仿宋" w:eastAsia="仿宋" w:hAnsi="仿宋" w:hint="eastAsia"/>
          <w:b/>
          <w:sz w:val="32"/>
          <w:szCs w:val="32"/>
          <w:lang w:eastAsia="zh-CN"/>
        </w:rPr>
        <w:t>财政批复</w:t>
      </w:r>
    </w:p>
    <w:p>
      <w:pPr>
        <w:pStyle w:val="a0"/>
        <w:spacing w:line="588" w:lineRule="exact"/>
        <w:ind w:firstLineChars="200" w:firstLine="560"/>
        <w:rPr>
          <w:rFonts w:ascii="仿宋" w:eastAsia="仿宋" w:hAnsi="仿宋"/>
          <w:sz w:val="32"/>
          <w:szCs w:val="32"/>
          <w:lang w:eastAsia="zh-CN"/>
        </w:rPr>
      </w:pPr>
      <w:r>
        <w:rPr>
          <w:noProof/>
          <w:lang w:eastAsia="zh-CN"/>
        </w:rPr>
        <w:drawing>
          <wp:anchor distT="0" distB="0" distL="114300" distR="114300" simplePos="0" relativeHeight="251658240" behindDoc="0" locked="0" layoutInCell="1" allowOverlap="1">
            <wp:simplePos x="0" y="0"/>
            <wp:positionH relativeFrom="margin">
              <wp:align>right</wp:align>
            </wp:positionH>
            <wp:positionV relativeFrom="paragraph">
              <wp:posOffset>1163955</wp:posOffset>
            </wp:positionV>
            <wp:extent cx="5268595" cy="2268000"/>
            <wp:effectExtent l="0" t="0" r="8255" b="0"/>
            <wp:wrapSquare wrapText="bothSides"/>
            <wp:docPr id="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8595"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32"/>
          <w:szCs w:val="32"/>
          <w:lang w:eastAsia="zh-CN"/>
        </w:rPr>
        <w:t>（1）切换单位：点击“切换单位”，在弹出界面选择对应财政区划进行切换，在弹出界面选择对应的财政区划节点，在“决算批复-财政批复”菜单下进行操作。如下图所示：</w:t>
      </w:r>
    </w:p>
    <w:p>
      <w:pPr>
        <w:pStyle w:val="a0"/>
        <w:ind w:firstLineChars="200" w:firstLine="560"/>
        <w:rPr>
          <w:rFonts w:ascii="仿宋" w:eastAsia="仿宋" w:hAnsi="仿宋"/>
          <w:sz w:val="32"/>
          <w:szCs w:val="32"/>
          <w:lang w:eastAsia="zh-CN"/>
        </w:rPr>
      </w:pPr>
      <w:r>
        <w:rPr>
          <w:noProof/>
          <w:lang w:eastAsia="zh-CN"/>
        </w:rPr>
        <w:drawing>
          <wp:anchor distT="0" distB="0" distL="114300" distR="114300" simplePos="0" relativeHeight="251659264" behindDoc="0" locked="0" layoutInCell="1" allowOverlap="1">
            <wp:simplePos x="0" y="0"/>
            <wp:positionH relativeFrom="margin">
              <wp:align>right</wp:align>
            </wp:positionH>
            <wp:positionV relativeFrom="paragraph">
              <wp:posOffset>4235422</wp:posOffset>
            </wp:positionV>
            <wp:extent cx="5268595" cy="2304000"/>
            <wp:effectExtent l="0" t="0" r="8255" b="1270"/>
            <wp:wrapSquare wrapText="bothSides"/>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8595"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（2）数据生成</w:t>
      </w:r>
      <w:r>
        <w:rPr>
          <w:rFonts w:ascii="仿宋" w:eastAsia="仿宋" w:hAnsi="仿宋"/>
          <w:sz w:val="32"/>
          <w:szCs w:val="32"/>
          <w:lang w:eastAsia="zh-CN"/>
        </w:rPr>
        <w:t>(决算报表)</w:t>
      </w:r>
      <w:r>
        <w:rPr>
          <w:rFonts w:ascii="仿宋" w:eastAsia="仿宋" w:hAnsi="仿宋" w:hint="eastAsia"/>
          <w:sz w:val="32"/>
          <w:szCs w:val="32"/>
          <w:lang w:eastAsia="zh-CN"/>
        </w:rPr>
        <w:t>：点击“批复报表”选项，选择单位树状图中的一级菜单，点击“数据生成”按钮，在弹出界面勾选单位树状图中的所有单位，点击“确认”按钮进行数据生成。如下图所示：</w:t>
      </w:r>
    </w:p>
    <w:p>
      <w:pPr>
        <w:pStyle w:val="a0"/>
        <w:spacing w:line="588" w:lineRule="exact"/>
        <w:ind w:firstLineChars="200" w:firstLine="560"/>
        <w:rPr>
          <w:rFonts w:ascii="仿宋" w:eastAsia="仿宋" w:hAnsi="仿宋"/>
          <w:sz w:val="32"/>
          <w:szCs w:val="32"/>
          <w:lang w:eastAsia="zh-CN"/>
        </w:rPr>
      </w:pPr>
      <w:r>
        <w:rPr>
          <w:noProof/>
          <w:lang w:eastAsia="zh-CN"/>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1581621</wp:posOffset>
            </wp:positionV>
            <wp:extent cx="5269865" cy="1980000"/>
            <wp:effectExtent l="0" t="0" r="6985" b="1270"/>
            <wp:wrapSquare wrapText="bothSides"/>
            <wp:docPr id="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9865"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（3）一键批复</w:t>
      </w:r>
      <w:r>
        <w:rPr>
          <w:rFonts w:ascii="仿宋" w:eastAsia="仿宋" w:hAnsi="仿宋"/>
          <w:sz w:val="32"/>
          <w:szCs w:val="32"/>
          <w:lang w:eastAsia="zh-CN"/>
        </w:rPr>
        <w:t>(决算报表)</w:t>
      </w:r>
      <w:r>
        <w:rPr>
          <w:rFonts w:ascii="仿宋" w:eastAsia="仿宋" w:hAnsi="仿宋" w:hint="eastAsia"/>
          <w:sz w:val="32"/>
          <w:szCs w:val="32"/>
          <w:lang w:eastAsia="zh-CN"/>
        </w:rPr>
        <w:t>：在“批复报表”页签，点击单位树状图中的一级菜单后点击“一键批复”按钮（也可按单位批复）。在弹窗页面中勾选单位树状图中的所有预算单位，再点击“批复”按钮进行报表批复。如下图所示：</w:t>
      </w:r>
    </w:p>
    <w:p>
      <w:pPr>
        <w:pStyle w:val="a0"/>
        <w:spacing w:line="588" w:lineRule="exact"/>
        <w:ind w:firstLineChars="200" w:firstLine="560"/>
        <w:rPr>
          <w:rFonts w:ascii="仿宋" w:eastAsia="仿宋" w:hAnsi="仿宋"/>
          <w:sz w:val="32"/>
          <w:szCs w:val="32"/>
          <w:lang w:eastAsia="zh-CN"/>
        </w:rPr>
      </w:pPr>
      <w:r>
        <w:rPr>
          <w:noProof/>
          <w:lang w:eastAsia="zh-CN"/>
        </w:rPr>
        <w:drawing>
          <wp:anchor distT="0" distB="0" distL="114300" distR="114300" simplePos="0" relativeHeight="251661312" behindDoc="0" locked="0" layoutInCell="1" allowOverlap="1">
            <wp:simplePos x="0" y="0"/>
            <wp:positionH relativeFrom="margin">
              <wp:align>right</wp:align>
            </wp:positionH>
            <wp:positionV relativeFrom="paragraph">
              <wp:posOffset>3221861</wp:posOffset>
            </wp:positionV>
            <wp:extent cx="5270400" cy="1980000"/>
            <wp:effectExtent l="0" t="0" r="6985" b="1270"/>
            <wp:wrapSquare wrapText="bothSides"/>
            <wp:docPr id="13"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2336" behindDoc="0" locked="0" layoutInCell="1" allowOverlap="1">
            <wp:simplePos x="0" y="0"/>
            <wp:positionH relativeFrom="margin">
              <wp:align>right</wp:align>
            </wp:positionH>
            <wp:positionV relativeFrom="paragraph">
              <wp:posOffset>5256694</wp:posOffset>
            </wp:positionV>
            <wp:extent cx="5270400" cy="1980000"/>
            <wp:effectExtent l="0" t="0" r="6985" b="1270"/>
            <wp:wrapSquare wrapText="bothSides"/>
            <wp:docPr id="14"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（4）批复报表导出：在“决算批复</w:t>
      </w:r>
      <w:r>
        <w:rPr>
          <w:rFonts w:ascii="仿宋" w:eastAsia="仿宋" w:hAnsi="仿宋"/>
          <w:sz w:val="32"/>
          <w:szCs w:val="32"/>
          <w:lang w:eastAsia="zh-CN"/>
        </w:rPr>
        <w:t>-财政批复”菜单的“批复报表”页签，选择需要导出的单位节点。可进行批量PDF导出</w:t>
      </w:r>
      <w:r>
        <w:rPr>
          <w:rFonts w:ascii="仿宋" w:eastAsia="仿宋" w:hAnsi="仿宋" w:hint="eastAsia"/>
          <w:sz w:val="32"/>
          <w:szCs w:val="32"/>
          <w:lang w:eastAsia="zh-CN"/>
        </w:rPr>
        <w:t>或</w:t>
      </w:r>
      <w:r>
        <w:rPr>
          <w:rFonts w:ascii="仿宋" w:eastAsia="仿宋" w:hAnsi="仿宋"/>
          <w:sz w:val="32"/>
          <w:szCs w:val="32"/>
          <w:lang w:eastAsia="zh-CN"/>
        </w:rPr>
        <w:t>批量</w:t>
      </w:r>
      <w:r>
        <w:rPr>
          <w:rFonts w:ascii="仿宋" w:eastAsia="仿宋" w:hAnsi="仿宋" w:hint="eastAsia"/>
          <w:sz w:val="32"/>
          <w:szCs w:val="32"/>
          <w:lang w:eastAsia="zh-CN"/>
        </w:rPr>
        <w:t>报表报告导出。如下图所示：</w:t>
      </w:r>
    </w:p>
    <w:p>
      <w:pPr>
        <w:pStyle w:val="a0"/>
        <w:spacing w:line="588" w:lineRule="exact"/>
        <w:ind w:firstLineChars="200" w:firstLine="560"/>
        <w:rPr>
          <w:rFonts w:ascii="仿宋" w:eastAsia="仿宋" w:hAnsi="仿宋"/>
          <w:sz w:val="32"/>
          <w:szCs w:val="32"/>
          <w:lang w:eastAsia="zh-CN"/>
        </w:rPr>
      </w:pPr>
      <w:r>
        <w:rPr>
          <w:noProof/>
          <w:lang w:eastAsia="zh-CN"/>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1560373</wp:posOffset>
            </wp:positionV>
            <wp:extent cx="5270400" cy="2016000"/>
            <wp:effectExtent l="0" t="0" r="6985" b="3810"/>
            <wp:wrapSquare wrapText="bothSides"/>
            <wp:docPr id="6" name="F35B0BEE-F18A-47BB-8FCB-E00DA2F2635D-1" descr="C:/Users/Administrator/AppData/Local/Temp/wps.dkSjgZw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35B0BEE-F18A-47BB-8FCB-E00DA2F2635D-1" descr="C:/Users/Administrator/AppData/Local/Temp/wps.dkSjgZwps"/>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400"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32"/>
          <w:szCs w:val="32"/>
          <w:lang w:eastAsia="zh-CN"/>
        </w:rPr>
        <w:t>（5）批复报告生成：财政部门在</w:t>
      </w:r>
      <w:r>
        <w:rPr>
          <w:rFonts w:ascii="仿宋" w:eastAsia="仿宋" w:hAnsi="仿宋"/>
          <w:sz w:val="32"/>
          <w:szCs w:val="32"/>
          <w:lang w:eastAsia="zh-CN"/>
        </w:rPr>
        <w:t>“</w:t>
      </w:r>
      <w:r>
        <w:rPr>
          <w:rFonts w:ascii="仿宋" w:eastAsia="仿宋" w:hAnsi="仿宋" w:hint="eastAsia"/>
          <w:sz w:val="32"/>
          <w:szCs w:val="32"/>
          <w:lang w:eastAsia="zh-CN"/>
        </w:rPr>
        <w:t>决算批复</w:t>
      </w:r>
      <w:r>
        <w:rPr>
          <w:rFonts w:ascii="仿宋" w:eastAsia="仿宋" w:hAnsi="仿宋"/>
          <w:sz w:val="32"/>
          <w:szCs w:val="32"/>
          <w:lang w:eastAsia="zh-CN"/>
        </w:rPr>
        <w:t>-</w:t>
      </w:r>
      <w:r>
        <w:rPr>
          <w:rFonts w:ascii="仿宋" w:eastAsia="仿宋" w:hAnsi="仿宋" w:hint="eastAsia"/>
          <w:sz w:val="32"/>
          <w:szCs w:val="32"/>
          <w:lang w:eastAsia="zh-CN"/>
        </w:rPr>
        <w:t>财政批复</w:t>
      </w:r>
      <w:r>
        <w:rPr>
          <w:rFonts w:ascii="仿宋" w:eastAsia="仿宋" w:hAnsi="仿宋"/>
          <w:sz w:val="32"/>
          <w:szCs w:val="32"/>
          <w:lang w:eastAsia="zh-CN"/>
        </w:rPr>
        <w:t>”</w:t>
      </w:r>
      <w:r>
        <w:rPr>
          <w:rFonts w:ascii="仿宋" w:eastAsia="仿宋" w:hAnsi="仿宋" w:hint="eastAsia"/>
          <w:sz w:val="32"/>
          <w:szCs w:val="32"/>
          <w:lang w:eastAsia="zh-CN"/>
        </w:rPr>
        <w:t>菜单，切换点击“批复报告”页签，点击“报告生成”按钮，在弹出界面勾选单位树状图中的所有节点。选择批复报告模版，点击“确认生成”按钮生成批复报告。如下图所示：</w:t>
      </w:r>
    </w:p>
    <w:p>
      <w:pPr>
        <w:pStyle w:val="a0"/>
        <w:spacing w:line="588" w:lineRule="exact"/>
        <w:ind w:firstLineChars="200" w:firstLine="560"/>
        <w:rPr>
          <w:rFonts w:ascii="仿宋" w:eastAsia="仿宋" w:hAnsi="仿宋"/>
          <w:sz w:val="32"/>
          <w:szCs w:val="32"/>
          <w:lang w:eastAsia="zh-CN"/>
        </w:rPr>
      </w:pPr>
      <w:r>
        <w:rPr>
          <w:noProof/>
          <w:lang w:eastAsia="zh-CN"/>
        </w:rPr>
        <w:drawing>
          <wp:anchor distT="0" distB="0" distL="114300" distR="114300" simplePos="0" relativeHeight="251664384" behindDoc="0" locked="0" layoutInCell="1" allowOverlap="1">
            <wp:simplePos x="0" y="0"/>
            <wp:positionH relativeFrom="margin">
              <wp:align>right</wp:align>
            </wp:positionH>
            <wp:positionV relativeFrom="paragraph">
              <wp:posOffset>3233763</wp:posOffset>
            </wp:positionV>
            <wp:extent cx="5270400" cy="2016000"/>
            <wp:effectExtent l="0" t="0" r="6985" b="3810"/>
            <wp:wrapSquare wrapText="bothSides"/>
            <wp:docPr id="15"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400"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5408" behindDoc="0" locked="0" layoutInCell="1" allowOverlap="1">
            <wp:simplePos x="0" y="0"/>
            <wp:positionH relativeFrom="margin">
              <wp:align>right</wp:align>
            </wp:positionH>
            <wp:positionV relativeFrom="paragraph">
              <wp:posOffset>5317768</wp:posOffset>
            </wp:positionV>
            <wp:extent cx="5270400" cy="2016000"/>
            <wp:effectExtent l="0" t="0" r="6985" b="3810"/>
            <wp:wrapSquare wrapText="bothSides"/>
            <wp:docPr id="16"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400" cy="2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（6）批复报告导出：在“决算批复</w:t>
      </w:r>
      <w:r>
        <w:rPr>
          <w:rFonts w:ascii="仿宋" w:eastAsia="仿宋" w:hAnsi="仿宋"/>
          <w:sz w:val="32"/>
          <w:szCs w:val="32"/>
          <w:lang w:eastAsia="zh-CN"/>
        </w:rPr>
        <w:t>-财政批复”菜单的“批复报表”页签，选择需要导出的单位节点。可进行导出</w:t>
      </w:r>
      <w:r>
        <w:rPr>
          <w:rFonts w:ascii="仿宋" w:eastAsia="仿宋" w:hAnsi="仿宋" w:hint="eastAsia"/>
          <w:sz w:val="32"/>
          <w:szCs w:val="32"/>
          <w:lang w:eastAsia="zh-CN"/>
        </w:rPr>
        <w:t>或</w:t>
      </w:r>
      <w:r>
        <w:rPr>
          <w:rFonts w:ascii="仿宋" w:eastAsia="仿宋" w:hAnsi="仿宋"/>
          <w:sz w:val="32"/>
          <w:szCs w:val="32"/>
          <w:lang w:eastAsia="zh-CN"/>
        </w:rPr>
        <w:t>批量</w:t>
      </w:r>
      <w:r>
        <w:rPr>
          <w:rFonts w:ascii="仿宋" w:eastAsia="仿宋" w:hAnsi="仿宋" w:hint="eastAsia"/>
          <w:sz w:val="32"/>
          <w:szCs w:val="32"/>
          <w:lang w:eastAsia="zh-CN"/>
        </w:rPr>
        <w:t>报告导出后下达正式批复文件。如下图所示：</w:t>
      </w:r>
    </w:p>
    <w:p>
      <w:pPr>
        <w:pStyle w:val="a0"/>
        <w:spacing w:line="588" w:lineRule="exact"/>
        <w:ind w:firstLineChars="200" w:firstLine="643"/>
        <w:jc w:val="left"/>
        <w:rPr>
          <w:rFonts w:ascii="仿宋" w:eastAsia="仿宋" w:hAnsi="仿宋"/>
          <w:b/>
          <w:sz w:val="32"/>
          <w:szCs w:val="32"/>
          <w:lang w:eastAsia="zh-CN"/>
        </w:rPr>
      </w:pPr>
      <w:r>
        <w:rPr>
          <w:rFonts w:ascii="仿宋" w:eastAsia="仿宋" w:hAnsi="仿宋" w:hint="eastAsia"/>
          <w:b/>
          <w:sz w:val="32"/>
          <w:szCs w:val="32"/>
          <w:lang w:eastAsia="zh-CN"/>
        </w:rPr>
        <w:lastRenderedPageBreak/>
        <w:t>2</w:t>
      </w:r>
      <w:r>
        <w:rPr>
          <w:rFonts w:ascii="仿宋" w:eastAsia="仿宋" w:hAnsi="仿宋"/>
          <w:b/>
          <w:sz w:val="32"/>
          <w:szCs w:val="32"/>
          <w:lang w:eastAsia="zh-CN"/>
        </w:rPr>
        <w:t>.</w:t>
      </w:r>
      <w:r>
        <w:rPr>
          <w:rFonts w:ascii="仿宋" w:eastAsia="仿宋" w:hAnsi="仿宋" w:hint="eastAsia"/>
          <w:b/>
          <w:sz w:val="32"/>
          <w:szCs w:val="32"/>
          <w:lang w:eastAsia="zh-CN"/>
        </w:rPr>
        <w:t>部门批复</w:t>
      </w:r>
    </w:p>
    <w:p>
      <w:pPr>
        <w:spacing w:line="588" w:lineRule="exact"/>
        <w:ind w:firstLineChars="200" w:firstLine="560"/>
        <w:rPr>
          <w:rFonts w:ascii="仿宋" w:eastAsia="仿宋" w:hAnsi="仿宋" w:cs="宋体"/>
          <w:sz w:val="32"/>
          <w:szCs w:val="32"/>
        </w:rPr>
      </w:pPr>
      <w:r>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811188</wp:posOffset>
            </wp:positionV>
            <wp:extent cx="5270400" cy="2916000"/>
            <wp:effectExtent l="0" t="0" r="6985" b="0"/>
            <wp:wrapSquare wrapText="bothSides"/>
            <wp:docPr id="29"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400"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宋体" w:hint="eastAsia"/>
          <w:sz w:val="32"/>
          <w:szCs w:val="32"/>
        </w:rPr>
        <w:t>（1）切换单位：点击“切换单位”，在弹出界面选择对应主管部门，进行部门切换。如下图所示：</w:t>
      </w:r>
    </w:p>
    <w:p>
      <w:pPr>
        <w:spacing w:line="588" w:lineRule="exact"/>
        <w:ind w:firstLineChars="200" w:firstLine="560"/>
        <w:rPr>
          <w:rFonts w:ascii="仿宋" w:eastAsia="仿宋" w:hAnsi="仿宋" w:cs="宋体"/>
          <w:sz w:val="32"/>
          <w:szCs w:val="32"/>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4533608</wp:posOffset>
            </wp:positionV>
            <wp:extent cx="5269230" cy="2916000"/>
            <wp:effectExtent l="0" t="0" r="7620" b="0"/>
            <wp:wrapSquare wrapText="bothSides"/>
            <wp:docPr id="18"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9230"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宋体" w:hint="eastAsia"/>
          <w:sz w:val="32"/>
          <w:szCs w:val="32"/>
        </w:rPr>
        <w:t>（2）数据生成</w:t>
      </w:r>
      <w:r>
        <w:rPr>
          <w:rFonts w:ascii="仿宋" w:eastAsia="仿宋" w:hAnsi="仿宋" w:cs="宋体"/>
          <w:sz w:val="32"/>
          <w:szCs w:val="32"/>
        </w:rPr>
        <w:t>(决算报表)</w:t>
      </w:r>
      <w:r>
        <w:rPr>
          <w:rFonts w:ascii="仿宋" w:eastAsia="仿宋" w:hAnsi="仿宋" w:cs="宋体" w:hint="eastAsia"/>
          <w:sz w:val="32"/>
          <w:szCs w:val="32"/>
        </w:rPr>
        <w:t>：在“批复报表”页签选择单位树状图中的一级节点，点击“数据生成”按钮，在弹出界面勾选所有单位节点，再点击“确认”按钮完成报表生成。如下图所示：</w:t>
      </w:r>
    </w:p>
    <w:p>
      <w:pPr>
        <w:pStyle w:val="a0"/>
        <w:spacing w:line="588" w:lineRule="exact"/>
        <w:ind w:firstLineChars="200" w:firstLine="560"/>
        <w:rPr>
          <w:rFonts w:ascii="仿宋" w:eastAsia="仿宋" w:hAnsi="仿宋"/>
          <w:sz w:val="32"/>
          <w:szCs w:val="32"/>
          <w:lang w:eastAsia="zh-CN"/>
        </w:rPr>
      </w:pPr>
      <w:r>
        <w:rPr>
          <w:noProof/>
          <w:lang w:eastAsia="zh-CN"/>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1920939</wp:posOffset>
            </wp:positionV>
            <wp:extent cx="5270400" cy="1872000"/>
            <wp:effectExtent l="0" t="0" r="6985" b="0"/>
            <wp:wrapSquare wrapText="bothSides"/>
            <wp:docPr id="21"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4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（3）一键批复</w:t>
      </w:r>
      <w:r>
        <w:rPr>
          <w:rFonts w:ascii="仿宋" w:eastAsia="仿宋" w:hAnsi="仿宋"/>
          <w:sz w:val="32"/>
          <w:szCs w:val="32"/>
          <w:lang w:eastAsia="zh-CN"/>
        </w:rPr>
        <w:t>(决算报表)</w:t>
      </w:r>
      <w:r>
        <w:rPr>
          <w:rFonts w:ascii="仿宋" w:eastAsia="仿宋" w:hAnsi="仿宋" w:hint="eastAsia"/>
          <w:sz w:val="32"/>
          <w:szCs w:val="32"/>
          <w:lang w:eastAsia="zh-CN"/>
        </w:rPr>
        <w:t>：由主管部门对本级预算单位及所属预算单位进行一键批复部门决算报表。选择单位树状图中的列表一级节点，在点击“一键批复”按钮，在弹窗界面勾选所有单位节点，再点击“批复”按钮完成一级批复操作。如下图所示：</w:t>
      </w:r>
    </w:p>
    <w:p>
      <w:pPr>
        <w:spacing w:line="588" w:lineRule="exact"/>
        <w:ind w:firstLineChars="200" w:firstLine="560"/>
        <w:rPr>
          <w:rFonts w:ascii="仿宋" w:eastAsia="仿宋" w:hAnsi="仿宋" w:cs="宋体"/>
          <w:sz w:val="32"/>
          <w:szCs w:val="32"/>
        </w:rPr>
      </w:pP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3102660</wp:posOffset>
            </wp:positionV>
            <wp:extent cx="5270400" cy="1944000"/>
            <wp:effectExtent l="0" t="0" r="6985" b="0"/>
            <wp:wrapSquare wrapText="bothSides"/>
            <wp:docPr id="12" name="图片 12" descr="C:\Users\GKC\AppData\Roaming\LanxinSoftCustom\Resource\Pictures\524288\0880802010a3ea8c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KC\AppData\Roaming\LanxinSoftCustom\Resource\Pictures\524288\0880802010a3ea8c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4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simplePos x="0" y="0"/>
            <wp:positionH relativeFrom="margin">
              <wp:align>right</wp:align>
            </wp:positionH>
            <wp:positionV relativeFrom="paragraph">
              <wp:posOffset>5037098</wp:posOffset>
            </wp:positionV>
            <wp:extent cx="5270400" cy="1944000"/>
            <wp:effectExtent l="0" t="0" r="6985" b="0"/>
            <wp:wrapSquare wrapText="bothSides"/>
            <wp:docPr id="17" name="图片 17" descr="C:\Users\GKC\AppData\Roaming\LanxinSoftCustom\Resource\Pictures\524288\0880802010a3eacc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GKC\AppData\Roaming\LanxinSoftCustom\Resource\Pictures\524288\0880802010a3eacc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4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宋体" w:hint="eastAsia"/>
          <w:sz w:val="32"/>
          <w:szCs w:val="32"/>
        </w:rPr>
        <w:t>（</w:t>
      </w:r>
      <w:r>
        <w:rPr>
          <w:rFonts w:ascii="仿宋" w:eastAsia="仿宋" w:hAnsi="仿宋" w:cs="宋体"/>
          <w:sz w:val="32"/>
          <w:szCs w:val="32"/>
        </w:rPr>
        <w:t>4</w:t>
      </w:r>
      <w:r>
        <w:rPr>
          <w:rFonts w:ascii="仿宋" w:eastAsia="仿宋" w:hAnsi="仿宋" w:cs="宋体" w:hint="eastAsia"/>
          <w:sz w:val="32"/>
          <w:szCs w:val="32"/>
        </w:rPr>
        <w:t>）批复报表导出：在“决算批复</w:t>
      </w:r>
      <w:r>
        <w:rPr>
          <w:rFonts w:ascii="仿宋" w:eastAsia="仿宋" w:hAnsi="仿宋" w:cs="宋体"/>
          <w:sz w:val="32"/>
          <w:szCs w:val="32"/>
        </w:rPr>
        <w:t>-财政批复”菜单的“批复报表”页签，选择需要导出的单位节点。可进行批量</w:t>
      </w:r>
      <w:r>
        <w:rPr>
          <w:rFonts w:ascii="仿宋" w:eastAsia="仿宋" w:hAnsi="仿宋" w:cs="宋体" w:hint="eastAsia"/>
          <w:sz w:val="32"/>
          <w:szCs w:val="32"/>
        </w:rPr>
        <w:t>套表</w:t>
      </w:r>
      <w:r>
        <w:rPr>
          <w:rFonts w:ascii="仿宋" w:eastAsia="仿宋" w:hAnsi="仿宋" w:cs="宋体"/>
          <w:sz w:val="32"/>
          <w:szCs w:val="32"/>
        </w:rPr>
        <w:t>导出和批量</w:t>
      </w:r>
      <w:r>
        <w:rPr>
          <w:rFonts w:ascii="仿宋" w:eastAsia="仿宋" w:hAnsi="仿宋" w:cs="宋体" w:hint="eastAsia"/>
          <w:sz w:val="32"/>
          <w:szCs w:val="32"/>
        </w:rPr>
        <w:t>P</w:t>
      </w:r>
      <w:r>
        <w:rPr>
          <w:rFonts w:ascii="仿宋" w:eastAsia="仿宋" w:hAnsi="仿宋" w:cs="宋体"/>
          <w:sz w:val="32"/>
          <w:szCs w:val="32"/>
        </w:rPr>
        <w:t>DF</w:t>
      </w:r>
      <w:r>
        <w:rPr>
          <w:rFonts w:ascii="仿宋" w:eastAsia="仿宋" w:hAnsi="仿宋" w:cs="宋体" w:hint="eastAsia"/>
          <w:sz w:val="32"/>
          <w:szCs w:val="32"/>
        </w:rPr>
        <w:t>导出。如下图所示：</w:t>
      </w:r>
    </w:p>
    <w:p>
      <w:pPr>
        <w:spacing w:line="588" w:lineRule="exact"/>
        <w:ind w:firstLineChars="200" w:firstLine="560"/>
        <w:rPr>
          <w:rFonts w:ascii="仿宋" w:eastAsia="仿宋" w:hAnsi="仿宋" w:cs="宋体"/>
          <w:sz w:val="32"/>
          <w:szCs w:val="32"/>
        </w:rPr>
      </w:pPr>
      <w:r>
        <w:rPr>
          <w:noProof/>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1971968</wp:posOffset>
            </wp:positionV>
            <wp:extent cx="5270400" cy="1908000"/>
            <wp:effectExtent l="0" t="0" r="6985" b="0"/>
            <wp:wrapSquare wrapText="bothSides"/>
            <wp:docPr id="22"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0400" cy="1908000"/>
                    </a:xfrm>
                    <a:prstGeom prst="rect">
                      <a:avLst/>
                    </a:prstGeom>
                    <a:noFill/>
                    <a:ln>
                      <a:noFill/>
                    </a:ln>
                  </pic:spPr>
                </pic:pic>
              </a:graphicData>
            </a:graphic>
            <wp14:sizeRelV relativeFrom="margin">
              <wp14:pctHeight>0</wp14:pctHeight>
            </wp14:sizeRelV>
          </wp:anchor>
        </w:drawing>
      </w:r>
      <w:r>
        <w:rPr>
          <w:rFonts w:ascii="仿宋" w:eastAsia="仿宋" w:hAnsi="仿宋" w:cs="宋体" w:hint="eastAsia"/>
          <w:sz w:val="32"/>
          <w:szCs w:val="32"/>
        </w:rPr>
        <w:t>（</w:t>
      </w:r>
      <w:r>
        <w:rPr>
          <w:rFonts w:ascii="仿宋" w:eastAsia="仿宋" w:hAnsi="仿宋" w:cs="宋体"/>
          <w:sz w:val="32"/>
          <w:szCs w:val="32"/>
        </w:rPr>
        <w:t>5</w:t>
      </w:r>
      <w:r>
        <w:rPr>
          <w:rFonts w:ascii="仿宋" w:eastAsia="仿宋" w:hAnsi="仿宋" w:cs="宋体" w:hint="eastAsia"/>
          <w:sz w:val="32"/>
          <w:szCs w:val="32"/>
        </w:rPr>
        <w:t>）批复报告生成：由主管部门选择中间单位树状图中的一级节点，在点击“报告生成”按钮，在弹出界面勾选所有单位节点，勾选报告模板，然后点击“确认生成”按钮，完成报告生成</w:t>
      </w:r>
      <w:r>
        <w:rPr>
          <w:rFonts w:ascii="仿宋" w:eastAsia="仿宋" w:hAnsi="仿宋" w:cs="宋体" w:hint="eastAsia"/>
          <w:b/>
          <w:sz w:val="32"/>
          <w:szCs w:val="32"/>
        </w:rPr>
        <w:t>（报告生成后，需下载后进行核对、细化、完善，再上传至系统）。</w:t>
      </w:r>
      <w:r>
        <w:rPr>
          <w:rFonts w:ascii="仿宋" w:eastAsia="仿宋" w:hAnsi="仿宋" w:cs="宋体" w:hint="eastAsia"/>
          <w:sz w:val="32"/>
          <w:szCs w:val="32"/>
        </w:rPr>
        <w:t>如下图所示：</w:t>
      </w:r>
    </w:p>
    <w:p>
      <w:pPr>
        <w:pStyle w:val="a0"/>
        <w:spacing w:line="588" w:lineRule="exact"/>
        <w:ind w:firstLineChars="200" w:firstLine="560"/>
        <w:rPr>
          <w:rFonts w:ascii="仿宋" w:eastAsia="仿宋" w:hAnsi="仿宋"/>
          <w:sz w:val="32"/>
          <w:szCs w:val="32"/>
          <w:lang w:eastAsia="zh-CN"/>
        </w:rPr>
      </w:pPr>
      <w:r>
        <w:rPr>
          <w:noProof/>
          <w:lang w:eastAsia="zh-CN"/>
        </w:rPr>
        <w:drawing>
          <wp:anchor distT="0" distB="0" distL="114300" distR="114300" simplePos="0" relativeHeight="251673600" behindDoc="0" locked="0" layoutInCell="1" allowOverlap="1">
            <wp:simplePos x="0" y="0"/>
            <wp:positionH relativeFrom="margin">
              <wp:align>right</wp:align>
            </wp:positionH>
            <wp:positionV relativeFrom="paragraph">
              <wp:posOffset>4994111</wp:posOffset>
            </wp:positionV>
            <wp:extent cx="5270400" cy="1908000"/>
            <wp:effectExtent l="0" t="0" r="6985" b="0"/>
            <wp:wrapSquare wrapText="bothSides"/>
            <wp:docPr id="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400"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72576" behindDoc="0" locked="0" layoutInCell="1" allowOverlap="1">
            <wp:simplePos x="0" y="0"/>
            <wp:positionH relativeFrom="margin">
              <wp:align>right</wp:align>
            </wp:positionH>
            <wp:positionV relativeFrom="paragraph">
              <wp:posOffset>3175442</wp:posOffset>
            </wp:positionV>
            <wp:extent cx="5270400" cy="1908000"/>
            <wp:effectExtent l="0" t="0" r="6985" b="0"/>
            <wp:wrapSquare wrapText="bothSides"/>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4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sz w:val="32"/>
          <w:szCs w:val="32"/>
          <w:lang w:eastAsia="zh-CN"/>
        </w:rPr>
        <w:t>（</w:t>
      </w:r>
      <w:r>
        <w:rPr>
          <w:rFonts w:ascii="仿宋" w:eastAsia="仿宋" w:hAnsi="仿宋"/>
          <w:sz w:val="32"/>
          <w:szCs w:val="32"/>
          <w:lang w:eastAsia="zh-CN"/>
        </w:rPr>
        <w:t>6</w:t>
      </w:r>
      <w:r>
        <w:rPr>
          <w:rFonts w:ascii="仿宋" w:eastAsia="仿宋" w:hAnsi="仿宋" w:hint="eastAsia"/>
          <w:sz w:val="32"/>
          <w:szCs w:val="32"/>
          <w:lang w:eastAsia="zh-CN"/>
        </w:rPr>
        <w:t>）批复报告导出：在“决算批复</w:t>
      </w:r>
      <w:r>
        <w:rPr>
          <w:rFonts w:ascii="仿宋" w:eastAsia="仿宋" w:hAnsi="仿宋"/>
          <w:sz w:val="32"/>
          <w:szCs w:val="32"/>
          <w:lang w:eastAsia="zh-CN"/>
        </w:rPr>
        <w:t>-</w:t>
      </w:r>
      <w:r>
        <w:rPr>
          <w:rFonts w:ascii="仿宋" w:eastAsia="仿宋" w:hAnsi="仿宋" w:hint="eastAsia"/>
          <w:sz w:val="32"/>
          <w:szCs w:val="32"/>
          <w:lang w:eastAsia="zh-CN"/>
        </w:rPr>
        <w:t>财政批复”菜单的“批复报告”页签，选择需要导出的单位节点，可进行导出和批量报告导出操作。如下图所示：</w:t>
      </w:r>
    </w:p>
    <w:p>
      <w:pPr>
        <w:pStyle w:val="a0"/>
        <w:spacing w:line="588" w:lineRule="exact"/>
        <w:ind w:firstLineChars="200" w:firstLine="640"/>
        <w:jc w:val="left"/>
        <w:rPr>
          <w:rFonts w:ascii="楷体" w:eastAsia="楷体" w:hAnsi="楷体"/>
          <w:sz w:val="32"/>
          <w:szCs w:val="32"/>
          <w:lang w:eastAsia="zh-CN"/>
        </w:rPr>
      </w:pPr>
      <w:r>
        <w:rPr>
          <w:rFonts w:ascii="楷体" w:eastAsia="楷体" w:hAnsi="楷体" w:hint="eastAsia"/>
          <w:sz w:val="32"/>
          <w:szCs w:val="32"/>
          <w:lang w:eastAsia="zh-CN"/>
        </w:rPr>
        <w:lastRenderedPageBreak/>
        <w:t>（二）部门决算公开</w:t>
      </w:r>
    </w:p>
    <w:p>
      <w:pPr>
        <w:pStyle w:val="a0"/>
        <w:spacing w:line="588" w:lineRule="exact"/>
        <w:ind w:firstLineChars="200" w:firstLine="640"/>
        <w:rPr>
          <w:rFonts w:ascii="仿宋" w:eastAsia="仿宋" w:hAnsi="仿宋"/>
          <w:sz w:val="32"/>
          <w:szCs w:val="32"/>
          <w:lang w:eastAsia="zh-CN"/>
        </w:rPr>
      </w:pPr>
      <w:r>
        <w:rPr>
          <w:rFonts w:ascii="仿宋" w:eastAsia="仿宋" w:hAnsi="仿宋" w:hint="eastAsia"/>
          <w:sz w:val="32"/>
          <w:szCs w:val="32"/>
          <w:lang w:eastAsia="zh-CN"/>
        </w:rPr>
        <w:t>各部门、各单位在预算管理一体化系统中“部门决算”模块的“决算公开→部门公开/单位公开”菜单中进行操作，部门决算公开需从部门决算“已上报”的报表进行提取数据，生成部门决算公开报表及公开报告。主要流程为“切换单位→公开报表生成→公开报告生成→公开报表和报告导出”。</w:t>
      </w:r>
    </w:p>
    <w:p>
      <w:pPr>
        <w:pStyle w:val="a0"/>
        <w:spacing w:line="588" w:lineRule="exact"/>
        <w:ind w:left="640"/>
        <w:jc w:val="left"/>
        <w:rPr>
          <w:rFonts w:ascii="仿宋" w:eastAsia="仿宋" w:hAnsi="仿宋"/>
          <w:b/>
          <w:sz w:val="32"/>
          <w:szCs w:val="32"/>
          <w:lang w:eastAsia="zh-CN"/>
        </w:rPr>
      </w:pPr>
      <w:r>
        <w:rPr>
          <w:rFonts w:ascii="仿宋" w:eastAsia="仿宋" w:hAnsi="仿宋" w:hint="eastAsia"/>
          <w:b/>
          <w:sz w:val="32"/>
          <w:szCs w:val="32"/>
          <w:lang w:eastAsia="zh-CN"/>
        </w:rPr>
        <w:t>1</w:t>
      </w:r>
      <w:r>
        <w:rPr>
          <w:rFonts w:ascii="仿宋" w:eastAsia="仿宋" w:hAnsi="仿宋"/>
          <w:b/>
          <w:sz w:val="32"/>
          <w:szCs w:val="32"/>
          <w:lang w:eastAsia="zh-CN"/>
        </w:rPr>
        <w:t>.</w:t>
      </w:r>
      <w:r>
        <w:rPr>
          <w:rFonts w:ascii="仿宋" w:eastAsia="仿宋" w:hAnsi="仿宋" w:hint="eastAsia"/>
          <w:b/>
          <w:sz w:val="32"/>
          <w:szCs w:val="32"/>
          <w:lang w:eastAsia="zh-CN"/>
        </w:rPr>
        <w:t>部门公开</w:t>
      </w:r>
    </w:p>
    <w:p>
      <w:pPr>
        <w:pStyle w:val="a0"/>
        <w:spacing w:line="588" w:lineRule="exact"/>
        <w:ind w:firstLineChars="200" w:firstLine="560"/>
        <w:jc w:val="left"/>
        <w:rPr>
          <w:rFonts w:ascii="仿宋" w:eastAsia="仿宋" w:hAnsi="仿宋"/>
          <w:sz w:val="32"/>
          <w:szCs w:val="32"/>
          <w:lang w:eastAsia="zh-CN"/>
        </w:rPr>
      </w:pPr>
      <w:r>
        <w:rPr>
          <w:noProof/>
          <w:lang w:eastAsia="zh-CN"/>
        </w:rPr>
        <w:drawing>
          <wp:anchor distT="0" distB="0" distL="114300" distR="114300" simplePos="0" relativeHeight="251675648" behindDoc="0" locked="0" layoutInCell="1" allowOverlap="1">
            <wp:simplePos x="0" y="0"/>
            <wp:positionH relativeFrom="margin">
              <wp:align>right</wp:align>
            </wp:positionH>
            <wp:positionV relativeFrom="paragraph">
              <wp:posOffset>753296</wp:posOffset>
            </wp:positionV>
            <wp:extent cx="5270400" cy="1872000"/>
            <wp:effectExtent l="0" t="0" r="6985" b="0"/>
            <wp:wrapSquare wrapText="bothSides"/>
            <wp:docPr id="3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4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（1）切换单位：点击“切换单位”在弹出界面选择对应主管部门(3位数编码)，进行部门切换。如下图所示：</w:t>
      </w:r>
    </w:p>
    <w:p>
      <w:pPr>
        <w:spacing w:line="588" w:lineRule="exact"/>
        <w:ind w:firstLineChars="200" w:firstLine="560"/>
        <w:rPr>
          <w:rFonts w:ascii="仿宋" w:eastAsia="仿宋" w:hAnsi="仿宋" w:cs="宋体"/>
          <w:sz w:val="32"/>
          <w:szCs w:val="32"/>
        </w:rPr>
      </w:pPr>
      <w:r>
        <w:rPr>
          <w:rFonts w:hint="eastAsia"/>
          <w:noProof/>
        </w:rPr>
        <w:drawing>
          <wp:anchor distT="0" distB="0" distL="114300" distR="114300" simplePos="0" relativeHeight="251677696" behindDoc="0" locked="0" layoutInCell="1" allowOverlap="1">
            <wp:simplePos x="0" y="0"/>
            <wp:positionH relativeFrom="margin">
              <wp:align>right</wp:align>
            </wp:positionH>
            <wp:positionV relativeFrom="paragraph">
              <wp:posOffset>3400946</wp:posOffset>
            </wp:positionV>
            <wp:extent cx="5270400" cy="1872000"/>
            <wp:effectExtent l="0" t="0" r="6985" b="0"/>
            <wp:wrapSquare wrapText="bothSides"/>
            <wp:docPr id="28"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40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rPr>
        <w:t>（2）公开报表生成：</w:t>
      </w:r>
      <w:r>
        <w:rPr>
          <w:rFonts w:ascii="仿宋" w:eastAsia="仿宋" w:hAnsi="仿宋" w:cs="宋体" w:hint="eastAsia"/>
          <w:sz w:val="32"/>
          <w:szCs w:val="32"/>
        </w:rPr>
        <w:t>在“公开报表”页签，点击中间单位树状图中的一级节点，在点击“数据生成”按钮，在弹出界面勾选全部单位节点。再点击“确认”按钮，完成数据生成操作。如下图所示：</w:t>
      </w:r>
    </w:p>
    <w:p>
      <w:pPr>
        <w:pStyle w:val="a0"/>
        <w:spacing w:line="588" w:lineRule="exact"/>
        <w:ind w:firstLineChars="200" w:firstLine="560"/>
        <w:rPr>
          <w:rFonts w:ascii="仿宋" w:eastAsia="仿宋" w:hAnsi="仿宋" w:cstheme="minorBidi"/>
          <w:sz w:val="32"/>
          <w:szCs w:val="32"/>
          <w:lang w:eastAsia="zh-CN"/>
        </w:rPr>
      </w:pPr>
      <w:r>
        <w:rPr>
          <w:rFonts w:hint="eastAsia"/>
          <w:noProof/>
          <w:lang w:eastAsia="zh-CN"/>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2339975</wp:posOffset>
            </wp:positionV>
            <wp:extent cx="5270400" cy="1800000"/>
            <wp:effectExtent l="0" t="0" r="6985" b="0"/>
            <wp:wrapSquare wrapText="bothSides"/>
            <wp:docPr id="19" name="图片 19" descr="公开报告"/>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19" descr="公开报告"/>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0400" cy="1800000"/>
                    </a:xfrm>
                    <a:prstGeom prst="rect">
                      <a:avLst/>
                    </a:prstGeom>
                  </pic:spPr>
                </pic:pic>
              </a:graphicData>
            </a:graphic>
            <wp14:sizeRelH relativeFrom="margin">
              <wp14:pctWidth>0</wp14:pctWidth>
            </wp14:sizeRelH>
            <wp14:sizeRelV relativeFrom="margin">
              <wp14:pctHeight>0</wp14:pctHeight>
            </wp14:sizeRelV>
          </wp:anchor>
        </w:drawing>
      </w:r>
      <w:r>
        <w:rPr>
          <w:rFonts w:ascii="仿宋" w:eastAsia="仿宋" w:hAnsi="仿宋" w:cstheme="minorBidi" w:hint="eastAsia"/>
          <w:sz w:val="32"/>
          <w:szCs w:val="32"/>
          <w:lang w:eastAsia="zh-CN"/>
        </w:rPr>
        <w:t>（3）公开报告生成：部门在“部门公开”菜单，点击“公开报告”页签，点击“报告生成”按钮，在弹出界面勾选所有单位节点，并选择报告模版，在点击“确认生成”按钮，通过系统生成初稿（下载后进行核实、细化、完善）。通过“报告上传”按钮上传至预算管理一体化系统，并点击“确认提交”。如下图所示：</w:t>
      </w:r>
    </w:p>
    <w:p>
      <w:pPr>
        <w:pStyle w:val="a0"/>
        <w:spacing w:line="588" w:lineRule="exact"/>
        <w:ind w:firstLineChars="200" w:firstLine="562"/>
        <w:rPr>
          <w:rFonts w:ascii="仿宋" w:eastAsia="仿宋" w:hAnsi="仿宋" w:cstheme="minorBidi"/>
          <w:sz w:val="32"/>
          <w:szCs w:val="32"/>
          <w:lang w:eastAsia="zh-CN"/>
        </w:rPr>
      </w:pPr>
      <w:r>
        <w:rPr>
          <w:b/>
          <w:bCs/>
          <w:noProof/>
          <w:lang w:eastAsia="zh-CN"/>
        </w:rPr>
        <w:drawing>
          <wp:anchor distT="0" distB="0" distL="114300" distR="114300" simplePos="0" relativeHeight="251683840" behindDoc="0" locked="0" layoutInCell="1" allowOverlap="1">
            <wp:simplePos x="0" y="0"/>
            <wp:positionH relativeFrom="margin">
              <wp:align>right</wp:align>
            </wp:positionH>
            <wp:positionV relativeFrom="paragraph">
              <wp:posOffset>4806251</wp:posOffset>
            </wp:positionV>
            <wp:extent cx="5270400" cy="1800000"/>
            <wp:effectExtent l="0" t="0" r="6985" b="0"/>
            <wp:wrapSquare wrapText="bothSides"/>
            <wp:docPr id="3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0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81792" behindDoc="0" locked="0" layoutInCell="1" allowOverlap="1">
            <wp:simplePos x="0" y="0"/>
            <wp:positionH relativeFrom="margin">
              <wp:align>right</wp:align>
            </wp:positionH>
            <wp:positionV relativeFrom="paragraph">
              <wp:posOffset>3041978</wp:posOffset>
            </wp:positionV>
            <wp:extent cx="5270400" cy="1800000"/>
            <wp:effectExtent l="0" t="0" r="6985" b="0"/>
            <wp:wrapSquare wrapText="bothSides"/>
            <wp:docPr id="20"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0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（4）公开报表和报告导出：</w:t>
      </w:r>
      <w:r>
        <w:rPr>
          <w:rFonts w:ascii="仿宋" w:eastAsia="仿宋" w:hAnsi="仿宋" w:cstheme="minorBidi" w:hint="eastAsia"/>
          <w:sz w:val="32"/>
          <w:szCs w:val="32"/>
          <w:lang w:eastAsia="zh-CN"/>
        </w:rPr>
        <w:t>报表导出，可通过“批量套表导出”或“批量</w:t>
      </w:r>
      <w:r>
        <w:rPr>
          <w:rFonts w:ascii="仿宋" w:eastAsia="仿宋" w:hAnsi="仿宋" w:cstheme="minorBidi"/>
          <w:sz w:val="32"/>
          <w:szCs w:val="32"/>
          <w:lang w:eastAsia="zh-CN"/>
        </w:rPr>
        <w:t>PDF</w:t>
      </w:r>
      <w:r>
        <w:rPr>
          <w:rFonts w:ascii="仿宋" w:eastAsia="仿宋" w:hAnsi="仿宋" w:cstheme="minorBidi" w:hint="eastAsia"/>
          <w:sz w:val="32"/>
          <w:szCs w:val="32"/>
          <w:lang w:eastAsia="zh-CN"/>
        </w:rPr>
        <w:t>导出”按钮导出。报告导出，可通过“导出”或“批量报告导出”按钮导出。如下图所示：</w:t>
      </w:r>
    </w:p>
    <w:p>
      <w:pPr>
        <w:pStyle w:val="a0"/>
        <w:spacing w:line="588" w:lineRule="exact"/>
        <w:ind w:left="640"/>
        <w:jc w:val="left"/>
        <w:rPr>
          <w:rFonts w:ascii="仿宋" w:eastAsia="仿宋" w:hAnsi="仿宋"/>
          <w:b/>
          <w:sz w:val="32"/>
          <w:szCs w:val="32"/>
          <w:lang w:eastAsia="zh-CN"/>
        </w:rPr>
      </w:pPr>
      <w:r>
        <w:rPr>
          <w:rFonts w:ascii="仿宋" w:eastAsia="仿宋" w:hAnsi="仿宋" w:hint="eastAsia"/>
          <w:b/>
          <w:sz w:val="32"/>
          <w:szCs w:val="32"/>
          <w:lang w:eastAsia="zh-CN"/>
        </w:rPr>
        <w:lastRenderedPageBreak/>
        <w:t>2</w:t>
      </w:r>
      <w:r>
        <w:rPr>
          <w:rFonts w:ascii="仿宋" w:eastAsia="仿宋" w:hAnsi="仿宋"/>
          <w:b/>
          <w:sz w:val="32"/>
          <w:szCs w:val="32"/>
          <w:lang w:eastAsia="zh-CN"/>
        </w:rPr>
        <w:t>.</w:t>
      </w:r>
      <w:r>
        <w:rPr>
          <w:rFonts w:ascii="仿宋" w:eastAsia="仿宋" w:hAnsi="仿宋" w:hint="eastAsia"/>
          <w:b/>
          <w:sz w:val="32"/>
          <w:szCs w:val="32"/>
          <w:lang w:eastAsia="zh-CN"/>
        </w:rPr>
        <w:t>单位公开</w:t>
      </w:r>
    </w:p>
    <w:p>
      <w:pPr>
        <w:pStyle w:val="a0"/>
        <w:spacing w:line="588" w:lineRule="exact"/>
        <w:ind w:firstLineChars="200" w:firstLine="560"/>
        <w:rPr>
          <w:rFonts w:ascii="仿宋" w:eastAsia="仿宋" w:hAnsi="仿宋" w:cstheme="minorBidi"/>
          <w:sz w:val="32"/>
          <w:szCs w:val="32"/>
          <w:lang w:eastAsia="zh-CN"/>
        </w:rPr>
      </w:pPr>
      <w:r>
        <w:rPr>
          <w:noProof/>
          <w:lang w:eastAsia="zh-CN"/>
        </w:rPr>
        <w:drawing>
          <wp:anchor distT="0" distB="0" distL="114300" distR="114300" simplePos="0" relativeHeight="251685888" behindDoc="0" locked="0" layoutInCell="1" allowOverlap="1">
            <wp:simplePos x="0" y="0"/>
            <wp:positionH relativeFrom="margin">
              <wp:align>right</wp:align>
            </wp:positionH>
            <wp:positionV relativeFrom="paragraph">
              <wp:posOffset>1155065</wp:posOffset>
            </wp:positionV>
            <wp:extent cx="5269865" cy="2772000"/>
            <wp:effectExtent l="0" t="0" r="6985" b="9525"/>
            <wp:wrapSquare wrapText="bothSides"/>
            <wp:docPr id="32"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9865"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（1）切换单位：</w:t>
      </w:r>
      <w:r>
        <w:rPr>
          <w:rFonts w:ascii="仿宋" w:eastAsia="仿宋" w:hAnsi="仿宋" w:cstheme="minorBidi" w:hint="eastAsia"/>
          <w:sz w:val="32"/>
          <w:szCs w:val="32"/>
          <w:lang w:eastAsia="zh-CN"/>
        </w:rPr>
        <w:t>点击“切换单位”在弹出界面选择对应预算单位(6位或者9位预算代码)，进行预算单位切换。如下图所示：</w:t>
      </w:r>
    </w:p>
    <w:p>
      <w:pPr>
        <w:pStyle w:val="a0"/>
        <w:spacing w:line="588" w:lineRule="exact"/>
        <w:ind w:firstLineChars="200" w:firstLine="560"/>
        <w:rPr>
          <w:rFonts w:ascii="仿宋" w:eastAsia="仿宋" w:hAnsi="仿宋" w:cstheme="minorBidi"/>
          <w:sz w:val="32"/>
          <w:szCs w:val="32"/>
          <w:lang w:eastAsia="zh-CN"/>
        </w:rPr>
      </w:pPr>
      <w:r>
        <w:rPr>
          <w:noProof/>
          <w:lang w:eastAsia="zh-CN"/>
        </w:rPr>
        <w:drawing>
          <wp:anchor distT="0" distB="0" distL="114300" distR="114300" simplePos="0" relativeHeight="251686912" behindDoc="0" locked="0" layoutInCell="1" allowOverlap="1">
            <wp:simplePos x="0" y="0"/>
            <wp:positionH relativeFrom="margin">
              <wp:align>right</wp:align>
            </wp:positionH>
            <wp:positionV relativeFrom="paragraph">
              <wp:posOffset>4393501</wp:posOffset>
            </wp:positionV>
            <wp:extent cx="5269230" cy="2772000"/>
            <wp:effectExtent l="0" t="0" r="7620" b="9525"/>
            <wp:wrapSquare wrapText="bothSides"/>
            <wp:docPr id="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923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（2）公开报表生成：</w:t>
      </w:r>
      <w:r>
        <w:rPr>
          <w:rFonts w:ascii="仿宋" w:eastAsia="仿宋" w:hAnsi="仿宋" w:cstheme="minorBidi" w:hint="eastAsia"/>
          <w:sz w:val="32"/>
          <w:szCs w:val="32"/>
          <w:lang w:eastAsia="zh-CN"/>
        </w:rPr>
        <w:t>在“公开报表”页签，点击中间单位树状图中的单位节点，在点击“数据生成”按钮，在弹出界面勾选单位节点，再点击“确认”按钮，完成数据生成操作。如下图所示：</w:t>
      </w:r>
    </w:p>
    <w:p>
      <w:pPr>
        <w:pStyle w:val="a0"/>
        <w:spacing w:line="588" w:lineRule="exact"/>
        <w:ind w:firstLineChars="200" w:firstLine="560"/>
        <w:rPr>
          <w:rFonts w:ascii="仿宋" w:eastAsia="仿宋" w:hAnsi="仿宋"/>
          <w:sz w:val="32"/>
          <w:szCs w:val="32"/>
          <w:lang w:eastAsia="zh-CN"/>
        </w:rPr>
      </w:pPr>
      <w:r>
        <w:rPr>
          <w:noProof/>
          <w:lang w:eastAsia="zh-CN"/>
        </w:rPr>
        <w:lastRenderedPageBreak/>
        <w:drawing>
          <wp:anchor distT="0" distB="0" distL="114300" distR="114300" simplePos="0" relativeHeight="251687936" behindDoc="0" locked="0" layoutInCell="1" allowOverlap="1">
            <wp:simplePos x="0" y="0"/>
            <wp:positionH relativeFrom="margin">
              <wp:align>right</wp:align>
            </wp:positionH>
            <wp:positionV relativeFrom="paragraph">
              <wp:posOffset>2332990</wp:posOffset>
            </wp:positionV>
            <wp:extent cx="5270400" cy="1836000"/>
            <wp:effectExtent l="0" t="0" r="6985" b="0"/>
            <wp:wrapSquare wrapText="bothSides"/>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04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theme="minorBidi" w:hint="eastAsia"/>
          <w:sz w:val="32"/>
          <w:szCs w:val="32"/>
          <w:lang w:eastAsia="zh-CN"/>
        </w:rPr>
        <w:t>（3）公开报告生成：</w:t>
      </w:r>
      <w:r>
        <w:rPr>
          <w:rFonts w:ascii="仿宋" w:eastAsia="仿宋" w:hAnsi="仿宋" w:hint="eastAsia"/>
          <w:sz w:val="32"/>
          <w:szCs w:val="32"/>
          <w:lang w:eastAsia="zh-CN"/>
        </w:rPr>
        <w:t>各单位在“单位公开”菜单，点击“公开报告”页签，点击“报告生成”按钮，在弹出界面勾选所有单位节点，并选择报告模版，再点击“确认生成”按钮，通过系统生成初稿（下载后进行核实、细化、完善）。通过“报告上传”按钮上传至预算管理一体化系统，并点击“确认提交”。如下图所示：</w:t>
      </w:r>
    </w:p>
    <w:p>
      <w:pPr>
        <w:pStyle w:val="a0"/>
        <w:spacing w:line="588" w:lineRule="exact"/>
        <w:ind w:firstLineChars="200" w:firstLine="560"/>
        <w:rPr>
          <w:rFonts w:ascii="仿宋" w:eastAsia="仿宋" w:hAnsi="仿宋"/>
          <w:sz w:val="32"/>
          <w:szCs w:val="32"/>
          <w:lang w:eastAsia="zh-CN"/>
        </w:rPr>
      </w:pPr>
      <w:r>
        <w:rPr>
          <w:noProof/>
          <w:lang w:eastAsia="zh-CN"/>
        </w:rPr>
        <w:drawing>
          <wp:anchor distT="0" distB="0" distL="114300" distR="114300" simplePos="0" relativeHeight="251689984" behindDoc="0" locked="0" layoutInCell="1" allowOverlap="1">
            <wp:simplePos x="0" y="0"/>
            <wp:positionH relativeFrom="margin">
              <wp:align>right</wp:align>
            </wp:positionH>
            <wp:positionV relativeFrom="paragraph">
              <wp:posOffset>4771732</wp:posOffset>
            </wp:positionV>
            <wp:extent cx="5269865" cy="1835785"/>
            <wp:effectExtent l="0" t="0" r="6985" b="0"/>
            <wp:wrapSquare wrapText="bothSides"/>
            <wp:docPr id="1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6986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88960" behindDoc="0" locked="0" layoutInCell="1" allowOverlap="1">
            <wp:simplePos x="0" y="0"/>
            <wp:positionH relativeFrom="margin">
              <wp:align>right</wp:align>
            </wp:positionH>
            <wp:positionV relativeFrom="paragraph">
              <wp:posOffset>3067036</wp:posOffset>
            </wp:positionV>
            <wp:extent cx="5269865" cy="1836000"/>
            <wp:effectExtent l="0" t="0" r="6985" b="0"/>
            <wp:wrapSquare wrapText="bothSides"/>
            <wp:docPr id="11"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9865"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32"/>
          <w:szCs w:val="32"/>
          <w:lang w:eastAsia="zh-CN"/>
        </w:rPr>
        <w:t>（4）公开报表和报告导出：报表导出，可通过“批量套表导出”或“批量</w:t>
      </w:r>
      <w:r>
        <w:rPr>
          <w:rFonts w:ascii="仿宋" w:eastAsia="仿宋" w:hAnsi="仿宋"/>
          <w:sz w:val="32"/>
          <w:szCs w:val="32"/>
          <w:lang w:eastAsia="zh-CN"/>
        </w:rPr>
        <w:t>PDF</w:t>
      </w:r>
      <w:r>
        <w:rPr>
          <w:rFonts w:ascii="仿宋" w:eastAsia="仿宋" w:hAnsi="仿宋" w:hint="eastAsia"/>
          <w:sz w:val="32"/>
          <w:szCs w:val="32"/>
          <w:lang w:eastAsia="zh-CN"/>
        </w:rPr>
        <w:t>导出”按钮导出。报告导出，可通过“导出”或“批量报告导出”按钮导出。如下图所示：</w:t>
      </w:r>
    </w:p>
    <w:p>
      <w:pPr>
        <w:pStyle w:val="a0"/>
        <w:spacing w:line="588" w:lineRule="exact"/>
        <w:ind w:left="640"/>
        <w:jc w:val="left"/>
        <w:rPr>
          <w:rFonts w:ascii="仿宋" w:eastAsia="仿宋" w:hAnsi="仿宋"/>
          <w:b/>
          <w:sz w:val="32"/>
          <w:szCs w:val="32"/>
          <w:lang w:eastAsia="zh-CN"/>
        </w:rPr>
      </w:pPr>
      <w:r>
        <w:rPr>
          <w:rFonts w:ascii="仿宋" w:eastAsia="仿宋" w:hAnsi="仿宋" w:hint="eastAsia"/>
          <w:b/>
          <w:sz w:val="32"/>
          <w:szCs w:val="32"/>
          <w:lang w:eastAsia="zh-CN"/>
        </w:rPr>
        <w:lastRenderedPageBreak/>
        <w:t>3</w:t>
      </w:r>
      <w:r>
        <w:rPr>
          <w:rFonts w:ascii="仿宋" w:eastAsia="仿宋" w:hAnsi="仿宋"/>
          <w:b/>
          <w:sz w:val="32"/>
          <w:szCs w:val="32"/>
          <w:lang w:eastAsia="zh-CN"/>
        </w:rPr>
        <w:t>.</w:t>
      </w:r>
      <w:r>
        <w:rPr>
          <w:rFonts w:ascii="仿宋" w:eastAsia="仿宋" w:hAnsi="仿宋" w:hint="eastAsia"/>
          <w:b/>
          <w:sz w:val="32"/>
          <w:szCs w:val="32"/>
          <w:lang w:eastAsia="zh-CN"/>
        </w:rPr>
        <w:t>公开内容</w:t>
      </w:r>
    </w:p>
    <w:p>
      <w:pPr>
        <w:spacing w:line="588" w:lineRule="exact"/>
        <w:ind w:firstLineChars="200" w:firstLine="640"/>
        <w:rPr>
          <w:rFonts w:ascii="仿宋" w:eastAsia="仿宋" w:hAnsi="仿宋" w:cs="宋体"/>
          <w:sz w:val="32"/>
          <w:szCs w:val="32"/>
        </w:rPr>
      </w:pPr>
      <w:r>
        <w:rPr>
          <w:rFonts w:ascii="仿宋" w:eastAsia="仿宋" w:hAnsi="仿宋" w:cs="宋体" w:hint="eastAsia"/>
          <w:sz w:val="32"/>
          <w:szCs w:val="32"/>
        </w:rPr>
        <w:t>各部门、各单位按照上述操作流程从预算管理一体化系统中导出报表和报告文件，并对有关内容进行核实、完善。</w:t>
      </w:r>
    </w:p>
    <w:p>
      <w:pPr>
        <w:spacing w:line="588" w:lineRule="exact"/>
        <w:ind w:firstLineChars="200" w:firstLine="640"/>
        <w:rPr>
          <w:rFonts w:ascii="仿宋" w:eastAsia="仿宋" w:hAnsi="仿宋" w:cs="宋体"/>
          <w:sz w:val="32"/>
          <w:szCs w:val="32"/>
        </w:rPr>
      </w:pPr>
      <w:r>
        <w:rPr>
          <w:rFonts w:ascii="仿宋" w:eastAsia="仿宋" w:hAnsi="仿宋" w:cs="宋体" w:hint="eastAsia"/>
          <w:sz w:val="32"/>
          <w:szCs w:val="32"/>
        </w:rPr>
        <w:t>公开内容分为部门决算公开报表和报告两部分，公开报表应当包括财政拨款收支情况和收支总体情况，其中：财政拨款收支情况包括财政拨款收入支出决算表、一般公共预算财政拨款收入支出决算表、一般公共预算财政拨款基本支出决算表、政府性基金预算财政拨款收入支出决算表、国有资本经营预算财政拨款收入支出决算表、财政拨款“三公”经费支出决算表等。收支总体情况包括收入支出决算表、收入决算表、支出决算表等。涉及国家秘密信息除外。</w:t>
      </w:r>
    </w:p>
    <w:p>
      <w:pPr>
        <w:spacing w:line="588" w:lineRule="exact"/>
        <w:ind w:firstLineChars="200" w:firstLine="640"/>
        <w:rPr>
          <w:rFonts w:ascii="仿宋" w:eastAsia="仿宋" w:hAnsi="仿宋" w:cs="宋体"/>
          <w:sz w:val="32"/>
          <w:szCs w:val="32"/>
        </w:rPr>
      </w:pPr>
      <w:r>
        <w:rPr>
          <w:rFonts w:ascii="仿宋" w:eastAsia="仿宋" w:hAnsi="仿宋" w:cs="宋体" w:hint="eastAsia"/>
          <w:sz w:val="32"/>
          <w:szCs w:val="32"/>
        </w:rPr>
        <w:t>公开报告分为第一部分基本情况、第二部分当年年度部门决算公开表、第三部分当年年度部门决算情况说明、第四部分名词解释。</w:t>
      </w:r>
    </w:p>
    <w:p>
      <w:pPr>
        <w:pStyle w:val="a0"/>
        <w:spacing w:line="588" w:lineRule="exact"/>
        <w:ind w:left="640"/>
        <w:jc w:val="left"/>
        <w:rPr>
          <w:rFonts w:ascii="仿宋" w:eastAsia="仿宋" w:hAnsi="仿宋"/>
          <w:b/>
          <w:sz w:val="32"/>
          <w:szCs w:val="32"/>
          <w:lang w:eastAsia="zh-CN"/>
        </w:rPr>
      </w:pPr>
      <w:r>
        <w:rPr>
          <w:rFonts w:ascii="仿宋" w:eastAsia="仿宋" w:hAnsi="仿宋" w:hint="eastAsia"/>
          <w:b/>
          <w:sz w:val="32"/>
          <w:szCs w:val="32"/>
          <w:lang w:eastAsia="zh-CN"/>
        </w:rPr>
        <w:t>4</w:t>
      </w:r>
      <w:r>
        <w:rPr>
          <w:rFonts w:ascii="仿宋" w:eastAsia="仿宋" w:hAnsi="仿宋"/>
          <w:b/>
          <w:sz w:val="32"/>
          <w:szCs w:val="32"/>
          <w:lang w:eastAsia="zh-CN"/>
        </w:rPr>
        <w:t>.</w:t>
      </w:r>
      <w:r>
        <w:rPr>
          <w:rFonts w:ascii="仿宋" w:eastAsia="仿宋" w:hAnsi="仿宋" w:hint="eastAsia"/>
          <w:b/>
          <w:sz w:val="32"/>
          <w:szCs w:val="32"/>
          <w:lang w:eastAsia="zh-CN"/>
        </w:rPr>
        <w:t>公开渠道</w:t>
      </w:r>
    </w:p>
    <w:p>
      <w:pPr>
        <w:spacing w:line="588" w:lineRule="exact"/>
        <w:ind w:firstLine="420"/>
        <w:rPr>
          <w:rFonts w:ascii="仿宋" w:eastAsia="仿宋" w:hAnsi="仿宋" w:cs="宋体"/>
          <w:sz w:val="32"/>
          <w:szCs w:val="32"/>
        </w:rPr>
      </w:pPr>
      <w:r>
        <w:rPr>
          <w:rFonts w:ascii="仿宋" w:eastAsia="仿宋" w:hAnsi="仿宋" w:cs="宋体" w:hint="eastAsia"/>
          <w:sz w:val="32"/>
          <w:szCs w:val="32"/>
        </w:rPr>
        <w:t>各部门、各单位按照相关规定及时公开，建有门户网站的，应当在门户网站公开决算，并保持长期公开状态，没有门户网站的，应当在本级人民政府门户网站公开部门决算。</w:t>
      </w:r>
    </w:p>
    <w:sect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1229"/>
    <w:multiLevelType w:val="hybridMultilevel"/>
    <w:tmpl w:val="32B82378"/>
    <w:lvl w:ilvl="0" w:tplc="9DB012C4">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226C36E0"/>
    <w:multiLevelType w:val="hybridMultilevel"/>
    <w:tmpl w:val="214822D2"/>
    <w:lvl w:ilvl="0" w:tplc="4A086528">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2885380B"/>
    <w:multiLevelType w:val="hybridMultilevel"/>
    <w:tmpl w:val="9B0A5B3A"/>
    <w:lvl w:ilvl="0" w:tplc="73367F2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2C394C01"/>
    <w:multiLevelType w:val="hybridMultilevel"/>
    <w:tmpl w:val="EFFE9DE6"/>
    <w:lvl w:ilvl="0" w:tplc="F02A2B78">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1FC0A9-EBC0-47C8-BCAA-C7BF24F65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Pr>
      <w:sz w:val="18"/>
      <w:szCs w:val="18"/>
    </w:rPr>
  </w:style>
  <w:style w:type="paragraph" w:styleId="a6">
    <w:name w:val="footer"/>
    <w:basedOn w:val="a"/>
    <w:link w:val="a7"/>
    <w:uiPriority w:val="99"/>
    <w:unhideWhenUsed/>
    <w:pPr>
      <w:tabs>
        <w:tab w:val="center" w:pos="4153"/>
        <w:tab w:val="right" w:pos="8306"/>
      </w:tabs>
      <w:snapToGrid w:val="0"/>
      <w:jc w:val="left"/>
    </w:pPr>
    <w:rPr>
      <w:sz w:val="18"/>
      <w:szCs w:val="18"/>
    </w:rPr>
  </w:style>
  <w:style w:type="character" w:customStyle="1" w:styleId="a7">
    <w:name w:val="页脚 字符"/>
    <w:basedOn w:val="a1"/>
    <w:link w:val="a6"/>
    <w:uiPriority w:val="99"/>
    <w:rPr>
      <w:sz w:val="18"/>
      <w:szCs w:val="18"/>
    </w:rPr>
  </w:style>
  <w:style w:type="paragraph" w:styleId="a0">
    <w:name w:val="Body Text"/>
    <w:basedOn w:val="a"/>
    <w:link w:val="a8"/>
    <w:qFormat/>
    <w:rPr>
      <w:rFonts w:ascii="宋体" w:eastAsia="宋体" w:hAnsi="宋体" w:cs="宋体"/>
      <w:szCs w:val="20"/>
      <w:lang w:eastAsia="en-US"/>
    </w:rPr>
  </w:style>
  <w:style w:type="character" w:customStyle="1" w:styleId="a8">
    <w:name w:val="正文文本 字符"/>
    <w:basedOn w:val="a1"/>
    <w:link w:val="a0"/>
    <w:rPr>
      <w:rFonts w:ascii="宋体" w:eastAsia="宋体" w:hAnsi="宋体" w:cs="宋体"/>
      <w:sz w:val="28"/>
      <w:szCs w:val="20"/>
      <w:lang w:eastAsia="en-US"/>
    </w:rPr>
  </w:style>
  <w:style w:type="paragraph" w:styleId="a9">
    <w:name w:val="Date"/>
    <w:basedOn w:val="a"/>
    <w:next w:val="a"/>
    <w:link w:val="aa"/>
    <w:uiPriority w:val="99"/>
    <w:semiHidden/>
    <w:unhideWhenUsed/>
    <w:pPr>
      <w:ind w:leftChars="2500" w:left="100"/>
    </w:pPr>
  </w:style>
  <w:style w:type="character" w:customStyle="1" w:styleId="aa">
    <w:name w:val="日期 字符"/>
    <w:basedOn w:val="a1"/>
    <w:link w:val="a9"/>
    <w:uiPriority w:val="99"/>
    <w:semiHidden/>
    <w:rPr>
      <w:sz w:val="28"/>
      <w:szCs w:val="24"/>
    </w:rPr>
  </w:style>
  <w:style w:type="paragraph" w:styleId="ab">
    <w:name w:val="Balloon Text"/>
    <w:basedOn w:val="a"/>
    <w:link w:val="ac"/>
    <w:uiPriority w:val="99"/>
    <w:semiHidden/>
    <w:unhideWhenUsed/>
    <w:rPr>
      <w:sz w:val="18"/>
      <w:szCs w:val="18"/>
    </w:rPr>
  </w:style>
  <w:style w:type="character" w:customStyle="1" w:styleId="ac">
    <w:name w:val="批注框文本 字符"/>
    <w:basedOn w:val="a1"/>
    <w:link w:val="ab"/>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49B0A-2935-459D-BC29-10CA3597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12</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GKC</dc:creator>
  <cp:keywords/>
  <dc:description/>
  <cp:lastModifiedBy>GKC</cp:lastModifiedBy>
  <cp:revision>42</cp:revision>
  <cp:lastPrinted>2025-09-12T02:19:00Z</cp:lastPrinted>
  <dcterms:created xsi:type="dcterms:W3CDTF">2025-09-10T04:58:00Z</dcterms:created>
  <dcterms:modified xsi:type="dcterms:W3CDTF">2025-09-28T08:37:00Z</dcterms:modified>
</cp:coreProperties>
</file>